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BF24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301AB83F" w14:textId="4AC3A6E4"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E87F9B">
        <w:rPr>
          <w:rFonts w:asciiTheme="minorHAnsi" w:hAnsiTheme="minorHAnsi"/>
          <w:color w:val="262626" w:themeColor="text1" w:themeTint="D9"/>
          <w:sz w:val="24"/>
          <w:szCs w:val="24"/>
        </w:rPr>
        <w:t>Δήμου Καβάλας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E87F9B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  <w:r w:rsidR="0048150C">
        <w:rPr>
          <w:rFonts w:asciiTheme="minorHAnsi" w:hAnsiTheme="minorHAnsi"/>
          <w:color w:val="262626" w:themeColor="text1" w:themeTint="D9"/>
          <w:sz w:val="24"/>
          <w:szCs w:val="24"/>
        </w:rPr>
        <w:t>9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E87F9B">
        <w:rPr>
          <w:rFonts w:asciiTheme="minorHAnsi" w:hAnsiTheme="minorHAnsi"/>
          <w:color w:val="262626" w:themeColor="text1" w:themeTint="D9"/>
          <w:sz w:val="24"/>
          <w:szCs w:val="24"/>
        </w:rPr>
        <w:t>0</w:t>
      </w:r>
      <w:r w:rsidR="0048150C">
        <w:rPr>
          <w:rFonts w:asciiTheme="minorHAnsi" w:hAnsiTheme="minorHAnsi"/>
          <w:color w:val="262626" w:themeColor="text1" w:themeTint="D9"/>
          <w:sz w:val="24"/>
          <w:szCs w:val="24"/>
        </w:rPr>
        <w:t>7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E87F9B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14:paraId="0C1B1F82" w14:textId="0E669781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E87F9B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Καβάλας</w:t>
      </w:r>
    </w:p>
    <w:p w14:paraId="079470CF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64B8599D" w14:textId="27C14109" w:rsidR="0089487C" w:rsidRPr="003D12B2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E87F9B">
        <w:rPr>
          <w:rFonts w:asciiTheme="minorHAnsi" w:hAnsiTheme="minorHAnsi" w:cs="Calibri"/>
          <w:sz w:val="24"/>
        </w:rPr>
        <w:t>Καβάλας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E87F9B">
        <w:rPr>
          <w:rFonts w:asciiTheme="minorHAnsi" w:hAnsiTheme="minorHAnsi" w:cs="Calibri"/>
          <w:sz w:val="24"/>
        </w:rPr>
        <w:t>Καβάλας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14:paraId="0F52C084" w14:textId="22B01375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E87F9B">
        <w:rPr>
          <w:rFonts w:asciiTheme="minorHAnsi" w:hAnsiTheme="minorHAnsi" w:cs="Calibri"/>
          <w:sz w:val="24"/>
        </w:rPr>
        <w:t>Καβάλας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p w14:paraId="74B051AE" w14:textId="77777777" w:rsidR="00007C8A" w:rsidRPr="002947EF" w:rsidRDefault="00007C8A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315"/>
        <w:gridCol w:w="1070"/>
        <w:gridCol w:w="1394"/>
        <w:gridCol w:w="1347"/>
      </w:tblGrid>
      <w:tr w:rsidR="00142031" w:rsidRPr="00626791" w14:paraId="77B8CF02" w14:textId="77777777" w:rsidTr="00142031">
        <w:trPr>
          <w:trHeight w:val="270"/>
          <w:jc w:val="center"/>
        </w:trPr>
        <w:tc>
          <w:tcPr>
            <w:tcW w:w="331" w:type="pct"/>
            <w:vMerge w:val="restart"/>
            <w:shd w:val="clear" w:color="auto" w:fill="D9D9D9"/>
            <w:noWrap/>
            <w:vAlign w:val="center"/>
          </w:tcPr>
          <w:p w14:paraId="2B3A7639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582" w:type="pct"/>
            <w:vMerge w:val="restart"/>
            <w:shd w:val="clear" w:color="auto" w:fill="D9D9D9"/>
            <w:noWrap/>
            <w:vAlign w:val="center"/>
          </w:tcPr>
          <w:p w14:paraId="7CD645D7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504" w:type="pct"/>
            <w:vMerge w:val="restart"/>
            <w:shd w:val="clear" w:color="auto" w:fill="D9D9D9"/>
            <w:noWrap/>
            <w:vAlign w:val="center"/>
          </w:tcPr>
          <w:p w14:paraId="434240D7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5FBE5C22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583" w:type="pct"/>
            <w:gridSpan w:val="2"/>
            <w:shd w:val="clear" w:color="auto" w:fill="D9D9D9"/>
            <w:vAlign w:val="center"/>
          </w:tcPr>
          <w:p w14:paraId="24E17100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142031" w:rsidRPr="00626791" w14:paraId="765C921F" w14:textId="77777777" w:rsidTr="00142031">
        <w:trPr>
          <w:trHeight w:val="424"/>
          <w:jc w:val="center"/>
        </w:trPr>
        <w:tc>
          <w:tcPr>
            <w:tcW w:w="331" w:type="pct"/>
            <w:vMerge/>
            <w:shd w:val="clear" w:color="auto" w:fill="D9D9D9"/>
            <w:noWrap/>
            <w:vAlign w:val="center"/>
          </w:tcPr>
          <w:p w14:paraId="07EA80E8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82" w:type="pct"/>
            <w:vMerge/>
            <w:shd w:val="clear" w:color="auto" w:fill="D9D9D9"/>
            <w:noWrap/>
            <w:vAlign w:val="center"/>
          </w:tcPr>
          <w:p w14:paraId="4A5FFD74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4" w:type="pct"/>
            <w:vMerge/>
            <w:shd w:val="clear" w:color="auto" w:fill="D9D9D9"/>
            <w:noWrap/>
            <w:vAlign w:val="center"/>
          </w:tcPr>
          <w:p w14:paraId="5F8B155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8" w:type="pct"/>
            <w:shd w:val="clear" w:color="auto" w:fill="D9D9D9"/>
            <w:vAlign w:val="center"/>
          </w:tcPr>
          <w:p w14:paraId="75BDBDE2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0B2A71CE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142031" w:rsidRPr="00626791" w14:paraId="6FDD2A9C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585EA87F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4272E614" w14:textId="7049CAF5" w:rsidR="00007C8A" w:rsidRPr="00142031" w:rsidRDefault="00E87F9B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142031">
              <w:rPr>
                <w:rFonts w:ascii="Calibri" w:hAnsi="Calibri" w:cs="Calibri"/>
              </w:rPr>
              <w:t xml:space="preserve">Ηλεκτρονική </w:t>
            </w:r>
            <w:r w:rsidR="00142031">
              <w:rPr>
                <w:rFonts w:ascii="Calibri" w:hAnsi="Calibri" w:cs="Calibri"/>
              </w:rPr>
              <w:t>ε</w:t>
            </w:r>
            <w:r w:rsidRPr="00142031">
              <w:rPr>
                <w:rFonts w:ascii="Calibri" w:hAnsi="Calibri" w:cs="Calibri"/>
              </w:rPr>
              <w:t xml:space="preserve">πιχειρηματικότητα – </w:t>
            </w:r>
            <w:r w:rsidRPr="00142031">
              <w:rPr>
                <w:rFonts w:ascii="Calibri" w:hAnsi="Calibri" w:cs="Calibri"/>
                <w:lang w:val="en-US"/>
              </w:rPr>
              <w:t>e-</w:t>
            </w:r>
            <w:r w:rsidRPr="00142031">
              <w:rPr>
                <w:rFonts w:ascii="Calibri" w:hAnsi="Calibri" w:cs="Calibri"/>
              </w:rPr>
              <w:t xml:space="preserve"> </w:t>
            </w:r>
            <w:proofErr w:type="spellStart"/>
            <w:r w:rsidRPr="00142031">
              <w:rPr>
                <w:rFonts w:ascii="Calibri" w:hAnsi="Calibri" w:cs="Calibri"/>
              </w:rPr>
              <w:t>επιχειρείν</w:t>
            </w:r>
            <w:proofErr w:type="spellEnd"/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CF17437" w14:textId="39438000" w:rsidR="00007C8A" w:rsidRPr="00142031" w:rsidRDefault="00E87F9B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142031"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660451D9" w14:textId="6D9251E5" w:rsidR="00007C8A" w:rsidRPr="00142031" w:rsidRDefault="00E87F9B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142031"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4EC4D2F0" w14:textId="4BDDA9E5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42031" w:rsidRPr="00626791" w14:paraId="6B212ACB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12B89251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4DD1F9C7" w14:textId="4CA876AD" w:rsidR="00007C8A" w:rsidRPr="00142031" w:rsidRDefault="001420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142031">
              <w:rPr>
                <w:rFonts w:ascii="Calibri" w:hAnsi="Calibri" w:cs="Calibri"/>
              </w:rPr>
              <w:t>Επαγγελματική ενεργοποίηση ανέργων γυναικών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0B6824A8" w14:textId="2AC185BA" w:rsidR="00007C8A" w:rsidRP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 w:rsidRPr="0014203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</w:t>
            </w:r>
            <w:r w:rsidRPr="00142031"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355300F2" w14:textId="2753A0E9" w:rsidR="00007C8A" w:rsidRP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142031"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4C581B6E" w14:textId="11CB99B3"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142031" w:rsidRPr="00626791" w14:paraId="11813B91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727393CC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56F9E23C" w14:textId="5E5B0755" w:rsidR="00007C8A" w:rsidRPr="00142031" w:rsidRDefault="001420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iCs/>
                <w:sz w:val="24"/>
                <w:szCs w:val="24"/>
              </w:rPr>
            </w:pPr>
            <w:r w:rsidRPr="00142031">
              <w:rPr>
                <w:rFonts w:ascii="Calibri" w:hAnsi="Calibri" w:cs="Calibri"/>
                <w:iCs/>
                <w:sz w:val="24"/>
                <w:szCs w:val="24"/>
              </w:rPr>
              <w:t>Εθελον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τικές δράσεις στην τοπική κοινωνία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B68EBA4" w14:textId="4640D4A4" w:rsidR="00007C8A" w:rsidRPr="00CD66EC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1324D63C" w14:textId="402A6667" w:rsidR="00007C8A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073B859B" w14:textId="77777777"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0266333D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25D6DC41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3ECC7464" w14:textId="6C1E2E7A" w:rsidR="00007C8A" w:rsidRPr="00CD66EC" w:rsidRDefault="001420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Αξιοποίηση της πολιτιστικής κληρονομιάς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449A04CF" w14:textId="12F3C49D" w:rsidR="00007C8A" w:rsidRPr="00CD66EC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63B742ED" w14:textId="2CCA63A6" w:rsidR="00007C8A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088F741D" w14:textId="77777777"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65627D4C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25C84F34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10933F89" w14:textId="7D3AC256" w:rsidR="00007C8A" w:rsidRPr="00CD66EC" w:rsidRDefault="001420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Τοπική ιστορία 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BF91361" w14:textId="3DE42C8A" w:rsidR="00007C8A" w:rsidRPr="00CD66EC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1D695B50" w14:textId="758D8A30" w:rsidR="00007C8A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6DE0D544" w14:textId="77777777"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1F3D5D6E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0E6DC685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35769539" w14:textId="77777777" w:rsidR="00007C8A" w:rsidRDefault="001420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Αξιοποίηση του ελεύθερου χρόνου των παιδιών σε άτυπα </w:t>
            </w:r>
          </w:p>
          <w:p w14:paraId="2465A41A" w14:textId="1A286CD5" w:rsidR="00142031" w:rsidRPr="00CD66EC" w:rsidRDefault="0014203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περιβάλλοντα μάθησης 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A552D5E" w14:textId="0C7D866B" w:rsidR="00007C8A" w:rsidRPr="00CD66EC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60BA6AA1" w14:textId="469A6421" w:rsidR="00007C8A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6A998983" w14:textId="77777777" w:rsidR="00007C8A" w:rsidRPr="00CD66E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368DD540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78B53D2D" w14:textId="4051DB65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5BF8CEAC" w14:textId="69444532" w:rsid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Αθλητισμός και διατροφή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31D88E7" w14:textId="04BD7B79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4F19FFC0" w14:textId="7436724C" w:rsid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33755014" w14:textId="77777777" w:rsidR="00142031" w:rsidRPr="00CD66EC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6FBB85A3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38D06194" w14:textId="0802B6A1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6E835376" w14:textId="77777777" w:rsid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Εναλλακτικές μορφές τουρισμού</w:t>
            </w:r>
            <w:r w:rsidRPr="00142031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 xml:space="preserve">θρησκευτικός, πολιτιστικός </w:t>
            </w:r>
          </w:p>
          <w:p w14:paraId="2D3C3E03" w14:textId="7C1F54A5" w:rsidR="00142031" w:rsidRP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τουρισμός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B23CB5C" w14:textId="54365538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48" w:type="pct"/>
          </w:tcPr>
          <w:p w14:paraId="273D7332" w14:textId="437034FD" w:rsid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7B7918DB" w14:textId="77777777" w:rsidR="00142031" w:rsidRPr="00CD66EC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7929CB8F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6B1DB0C8" w14:textId="537329EE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6D13CDE2" w14:textId="30B95ACC" w:rsid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 Αγγλικά Α2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2BCE403A" w14:textId="2E63C822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48" w:type="pct"/>
          </w:tcPr>
          <w:p w14:paraId="2282C4EB" w14:textId="45017ADF" w:rsid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0DC928AA" w14:textId="77777777" w:rsidR="00142031" w:rsidRPr="00CD66EC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142031" w:rsidRPr="00626791" w14:paraId="12E708EB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65D90656" w14:textId="7964F794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7A234D0A" w14:textId="77777777" w:rsid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Τοπική Αυτοδιοίκηση και πολίτης</w:t>
            </w:r>
            <w:r w:rsidRPr="00142031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υποχρεώσεις και δικαιώματα</w:t>
            </w:r>
          </w:p>
          <w:p w14:paraId="51D50275" w14:textId="173C117F" w:rsidR="00142031" w:rsidRPr="00142031" w:rsidRDefault="00142031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Των κατοίκων τοπικής κοινωνίας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73CC2DF3" w14:textId="040CFD36" w:rsidR="00142031" w:rsidRDefault="0014203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48" w:type="pct"/>
          </w:tcPr>
          <w:p w14:paraId="7B0BAF3F" w14:textId="015ABAC4" w:rsid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09647BFE" w14:textId="77777777" w:rsid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  <w:p w14:paraId="587B1A48" w14:textId="77777777" w:rsidR="00142031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  <w:p w14:paraId="0A4EFA5A" w14:textId="6EF56D9D" w:rsidR="00142031" w:rsidRPr="00CD66EC" w:rsidRDefault="0014203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  <w:tr w:rsidR="00772DE3" w:rsidRPr="00626791" w14:paraId="6C33F176" w14:textId="77777777" w:rsidTr="00142031">
        <w:trPr>
          <w:trHeight w:val="336"/>
          <w:jc w:val="center"/>
        </w:trPr>
        <w:tc>
          <w:tcPr>
            <w:tcW w:w="331" w:type="pct"/>
            <w:shd w:val="clear" w:color="auto" w:fill="auto"/>
            <w:noWrap/>
            <w:vAlign w:val="center"/>
          </w:tcPr>
          <w:p w14:paraId="58D22D72" w14:textId="6A75A0B0" w:rsidR="00772DE3" w:rsidRDefault="00772DE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82" w:type="pct"/>
            <w:shd w:val="clear" w:color="auto" w:fill="auto"/>
            <w:noWrap/>
            <w:vAlign w:val="center"/>
          </w:tcPr>
          <w:p w14:paraId="47FA086D" w14:textId="77777777" w:rsidR="00772DE3" w:rsidRDefault="00772DE3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Χρηματοδοτικά προγράμματα/εργαλεία που βρίσκονται σε ισχύ για</w:t>
            </w:r>
          </w:p>
          <w:p w14:paraId="122654C5" w14:textId="0D2A9383" w:rsidR="00772DE3" w:rsidRDefault="00772DE3" w:rsidP="00142031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Αγροτικές δραστηριότητες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14:paraId="638EC1B0" w14:textId="358E7C45" w:rsidR="00772DE3" w:rsidRDefault="00772DE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48" w:type="pct"/>
          </w:tcPr>
          <w:p w14:paraId="76A958A6" w14:textId="364231BE" w:rsidR="00772DE3" w:rsidRDefault="00772DE3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835" w:type="pct"/>
          </w:tcPr>
          <w:p w14:paraId="59BABEBB" w14:textId="77777777" w:rsidR="00772DE3" w:rsidRDefault="00772DE3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14:paraId="1035FB96" w14:textId="77777777" w:rsidR="002947EF" w:rsidRPr="00007C8A" w:rsidRDefault="00007C8A" w:rsidP="00F14D1F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Σε περιπτώσεις αναστολής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της δια ζώσης εκπαίδευσης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λόγω περιοριστικών μέτρων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BC20A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για την αντιμετώπιση της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πανδημίας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val="en-US" w:eastAsia="el-GR"/>
        </w:rPr>
        <w:t>covid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-19, τα τμήματα μάθησης </w:t>
      </w:r>
      <w:r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θα υλοποιούνται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μόνο μέσω </w:t>
      </w:r>
      <w:proofErr w:type="spellStart"/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τηλε</w:t>
      </w:r>
      <w:proofErr w:type="spellEnd"/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-εκπαίδευσης</w:t>
      </w:r>
      <w:r w:rsidR="002947EF" w:rsidRPr="00007C8A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 xml:space="preserve"> (εξ αποστάσεως παρακολούθηση).</w:t>
      </w:r>
    </w:p>
    <w:p w14:paraId="02016CEF" w14:textId="65043DB5" w:rsidR="0089487C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772DE3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.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  <w:r w:rsidR="00772DE3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Η αίτηση θα συμπληρωθεί και </w:t>
      </w:r>
      <w:r w:rsidR="00772DE3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lastRenderedPageBreak/>
        <w:t xml:space="preserve">θα αποσταλεί από τον/ην ενδιαφερόμενο/η στο </w:t>
      </w:r>
      <w:r w:rsidR="00772DE3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val="en-US" w:eastAsia="el-GR"/>
        </w:rPr>
        <w:t>email</w:t>
      </w:r>
      <w:r w:rsidR="00772DE3" w:rsidRPr="00772DE3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  <w:hyperlink r:id="rId7" w:history="1"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dimotikibibl</w:t>
        </w:r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kavala</w:t>
        </w:r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gov</w:t>
        </w:r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772DE3" w:rsidRPr="00877972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</w:hyperlink>
      <w:r w:rsidR="00772DE3" w:rsidRPr="00772DE3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.</w:t>
      </w:r>
      <w:r w:rsidR="00DE7AB4" w:rsidRPr="00DE7AB4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  <w:r w:rsidR="00DE7AB4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Οι αιτήσεις συμμετοχής στα προγράμματα </w:t>
      </w:r>
      <w:r w:rsidR="00CF5645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έχουν παραταθεί έως και την Τρίτη, 31 Αυγούστου 2021.</w:t>
      </w:r>
    </w:p>
    <w:p w14:paraId="57979DA9" w14:textId="77777777" w:rsidR="00772DE3" w:rsidRPr="00772DE3" w:rsidRDefault="00772DE3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14:paraId="0BBCAC39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6027BE4E" w14:textId="77777777"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6FBC9EA0" w14:textId="78B66A4D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</w:t>
      </w:r>
      <w:r w:rsidR="00A1372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που αφορούν τις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 w:rsidR="00A1372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Δήμου Καβάλας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14:paraId="321E4B0D" w14:textId="42330DFB" w:rsidR="0089487C" w:rsidRPr="00772DE3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772DE3" w:rsidRP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2513 50040</w:t>
      </w:r>
      <w:r w:rsidR="0095303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8</w:t>
      </w:r>
    </w:p>
    <w:p w14:paraId="4F31ECFE" w14:textId="0775BE61" w:rsidR="00CD66EC" w:rsidRPr="00772DE3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772DE3" w:rsidRP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proofErr w:type="spellStart"/>
      <w:r w:rsid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Κασσάνδρου</w:t>
      </w:r>
      <w:proofErr w:type="spellEnd"/>
      <w:r w:rsid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6 (Δημοτική Βιβλιοθήκη Καβάλας</w:t>
      </w:r>
      <w:r w:rsidR="002F2D3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«Βασίλης Βασιλικός»</w:t>
      </w:r>
      <w:r w:rsidR="00772DE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)</w:t>
      </w:r>
    </w:p>
    <w:p w14:paraId="495D99C0" w14:textId="411611F2" w:rsidR="0089487C" w:rsidRPr="00772DE3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772DE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r w:rsidR="00772DE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dimotikibibl@kavala.gov.gr</w:t>
      </w:r>
      <w:r w:rsidR="00D43A97" w:rsidRPr="00772DE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26E02D8C" w14:textId="77777777" w:rsidR="00A54358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772DE3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14:paraId="014022B0" w14:textId="77777777" w:rsidR="005E380C" w:rsidRPr="00D6658D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5E380C" w:rsidRPr="00D6658D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3699" w14:textId="77777777" w:rsidR="008A7116" w:rsidRDefault="008A7116" w:rsidP="000C55D3">
      <w:pPr>
        <w:spacing w:line="240" w:lineRule="auto"/>
      </w:pPr>
      <w:r>
        <w:separator/>
      </w:r>
    </w:p>
  </w:endnote>
  <w:endnote w:type="continuationSeparator" w:id="0">
    <w:p w14:paraId="236E856C" w14:textId="77777777" w:rsidR="008A7116" w:rsidRDefault="008A7116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8737" w14:textId="77777777" w:rsidR="006E3D0A" w:rsidRDefault="00007C8A" w:rsidP="00F14D1F">
    <w:pPr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F27E736" wp14:editId="48DDEA5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04730E41" wp14:editId="4CF68B82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52E766" wp14:editId="6C84007B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1669" w14:textId="77777777" w:rsidR="008A7116" w:rsidRDefault="008A7116" w:rsidP="000C55D3">
      <w:pPr>
        <w:spacing w:line="240" w:lineRule="auto"/>
      </w:pPr>
      <w:r>
        <w:separator/>
      </w:r>
    </w:p>
  </w:footnote>
  <w:footnote w:type="continuationSeparator" w:id="0">
    <w:p w14:paraId="496381E9" w14:textId="77777777" w:rsidR="008A7116" w:rsidRDefault="008A7116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1F57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0609C0" wp14:editId="034EFE47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35304" w14:textId="5DB3A7D4" w:rsidR="00767BE2" w:rsidRDefault="00E87F9B" w:rsidP="001151D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187D4C" wp14:editId="34EFBFB7">
                                <wp:extent cx="881380" cy="586740"/>
                                <wp:effectExtent l="0" t="0" r="0" b="3810"/>
                                <wp:docPr id="9" name="Εικόνα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609C0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14:paraId="1F135304" w14:textId="5DB3A7D4" w:rsidR="00767BE2" w:rsidRDefault="00E87F9B" w:rsidP="001151D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187D4C" wp14:editId="34EFBFB7">
                          <wp:extent cx="881380" cy="586740"/>
                          <wp:effectExtent l="0" t="0" r="0" b="3810"/>
                          <wp:docPr id="9" name="Εικόνα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1AA0DBAF" wp14:editId="2818815F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B0626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6E17CCD3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22199F82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4C090495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1101B77A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4A"/>
    <w:rsid w:val="00007C8A"/>
    <w:rsid w:val="000424F0"/>
    <w:rsid w:val="000438E3"/>
    <w:rsid w:val="0007619C"/>
    <w:rsid w:val="00083938"/>
    <w:rsid w:val="000C55D3"/>
    <w:rsid w:val="000F43EF"/>
    <w:rsid w:val="00113A56"/>
    <w:rsid w:val="001151DB"/>
    <w:rsid w:val="00116ABF"/>
    <w:rsid w:val="00131A80"/>
    <w:rsid w:val="00142031"/>
    <w:rsid w:val="00147988"/>
    <w:rsid w:val="00151B84"/>
    <w:rsid w:val="001921A4"/>
    <w:rsid w:val="001A0204"/>
    <w:rsid w:val="001C003A"/>
    <w:rsid w:val="001D6B43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07FB"/>
    <w:rsid w:val="002C1AC3"/>
    <w:rsid w:val="002C56DE"/>
    <w:rsid w:val="002D5FF2"/>
    <w:rsid w:val="002F2D33"/>
    <w:rsid w:val="0030607D"/>
    <w:rsid w:val="00313267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8150C"/>
    <w:rsid w:val="00493A03"/>
    <w:rsid w:val="004A117F"/>
    <w:rsid w:val="004C5924"/>
    <w:rsid w:val="004E3B5A"/>
    <w:rsid w:val="00500635"/>
    <w:rsid w:val="005260F1"/>
    <w:rsid w:val="005D21C5"/>
    <w:rsid w:val="005E380C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453E9"/>
    <w:rsid w:val="007578D6"/>
    <w:rsid w:val="00767BE2"/>
    <w:rsid w:val="00772DE3"/>
    <w:rsid w:val="00776846"/>
    <w:rsid w:val="00780061"/>
    <w:rsid w:val="007F03CF"/>
    <w:rsid w:val="007F12D8"/>
    <w:rsid w:val="00816E5D"/>
    <w:rsid w:val="00817803"/>
    <w:rsid w:val="008631A9"/>
    <w:rsid w:val="0086579D"/>
    <w:rsid w:val="008843F7"/>
    <w:rsid w:val="0089487C"/>
    <w:rsid w:val="00895C92"/>
    <w:rsid w:val="008A7116"/>
    <w:rsid w:val="008B7AE5"/>
    <w:rsid w:val="009233D6"/>
    <w:rsid w:val="0095303F"/>
    <w:rsid w:val="00954EC5"/>
    <w:rsid w:val="0097070F"/>
    <w:rsid w:val="009771AC"/>
    <w:rsid w:val="009A5174"/>
    <w:rsid w:val="009C26B8"/>
    <w:rsid w:val="00A13721"/>
    <w:rsid w:val="00A26F38"/>
    <w:rsid w:val="00A47EAB"/>
    <w:rsid w:val="00A54358"/>
    <w:rsid w:val="00A57440"/>
    <w:rsid w:val="00AB4B04"/>
    <w:rsid w:val="00AD4ED6"/>
    <w:rsid w:val="00B8724E"/>
    <w:rsid w:val="00BC20AF"/>
    <w:rsid w:val="00BE52EC"/>
    <w:rsid w:val="00BE7E09"/>
    <w:rsid w:val="00C117FB"/>
    <w:rsid w:val="00C1461C"/>
    <w:rsid w:val="00C402D0"/>
    <w:rsid w:val="00C81AE4"/>
    <w:rsid w:val="00C81EA9"/>
    <w:rsid w:val="00CA26FD"/>
    <w:rsid w:val="00CB0447"/>
    <w:rsid w:val="00CC6928"/>
    <w:rsid w:val="00CD66EC"/>
    <w:rsid w:val="00CF5645"/>
    <w:rsid w:val="00D20CA4"/>
    <w:rsid w:val="00D43A97"/>
    <w:rsid w:val="00D6658D"/>
    <w:rsid w:val="00DB28BF"/>
    <w:rsid w:val="00DE6B85"/>
    <w:rsid w:val="00DE7AB4"/>
    <w:rsid w:val="00E03895"/>
    <w:rsid w:val="00E10028"/>
    <w:rsid w:val="00E87F9B"/>
    <w:rsid w:val="00EB164A"/>
    <w:rsid w:val="00ED5682"/>
    <w:rsid w:val="00F03C3A"/>
    <w:rsid w:val="00F14D1F"/>
    <w:rsid w:val="00F236A7"/>
    <w:rsid w:val="00F400C7"/>
    <w:rsid w:val="00F403DD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285F6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772DE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motikibibl@kavala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user</cp:lastModifiedBy>
  <cp:revision>2</cp:revision>
  <cp:lastPrinted>2021-05-10T07:26:00Z</cp:lastPrinted>
  <dcterms:created xsi:type="dcterms:W3CDTF">2021-07-19T07:11:00Z</dcterms:created>
  <dcterms:modified xsi:type="dcterms:W3CDTF">2021-07-19T07:11:00Z</dcterms:modified>
</cp:coreProperties>
</file>